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141E" w:rsidRPr="0014141E" w:rsidRDefault="0014141E" w:rsidP="0014141E">
      <w:pPr>
        <w:shd w:val="clear" w:color="auto" w:fill="FFFFFF"/>
        <w:spacing w:after="0" w:line="240" w:lineRule="auto"/>
        <w:jc w:val="center"/>
        <w:outlineLvl w:val="0"/>
        <w:rPr>
          <w:rFonts w:ascii="Arial" w:eastAsia="Times New Roman" w:hAnsi="Arial" w:cs="Arial"/>
          <w:color w:val="785432"/>
          <w:kern w:val="36"/>
          <w:sz w:val="48"/>
          <w:szCs w:val="48"/>
        </w:rPr>
      </w:pPr>
      <w:r w:rsidRPr="0014141E">
        <w:rPr>
          <w:rFonts w:ascii="Arial" w:eastAsia="Times New Roman" w:hAnsi="Arial" w:cs="Arial"/>
          <w:color w:val="785432"/>
          <w:kern w:val="36"/>
          <w:sz w:val="48"/>
          <w:szCs w:val="48"/>
        </w:rPr>
        <w:t>Discussion: Is the EU Closing the Gap on Health Inequities?</w:t>
      </w:r>
    </w:p>
    <w:p w:rsidR="0014141E" w:rsidRPr="0014141E" w:rsidRDefault="0014141E" w:rsidP="0014141E">
      <w:pPr>
        <w:shd w:val="clear" w:color="auto" w:fill="FFFFFF"/>
        <w:spacing w:after="0" w:line="240" w:lineRule="auto"/>
        <w:rPr>
          <w:rFonts w:ascii="Arial" w:eastAsia="Times New Roman" w:hAnsi="Arial" w:cs="Arial"/>
          <w:color w:val="000000"/>
          <w:sz w:val="24"/>
          <w:szCs w:val="24"/>
        </w:rPr>
      </w:pPr>
      <w:r w:rsidRPr="0014141E">
        <w:rPr>
          <w:rFonts w:ascii="Arial" w:eastAsia="Times New Roman" w:hAnsi="Arial" w:cs="Arial"/>
          <w:color w:val="000000"/>
          <w:sz w:val="24"/>
          <w:szCs w:val="24"/>
        </w:rPr>
        <w:t>The World Health Organization and European Union (EU) DETERMINE Consortium has acknowledged gaps in health equities within and between member countries. A variety of efforts are underway to help close those gaps.</w:t>
      </w:r>
    </w:p>
    <w:p w:rsidR="0014141E" w:rsidRPr="0014141E" w:rsidRDefault="0014141E" w:rsidP="0014141E">
      <w:pPr>
        <w:shd w:val="clear" w:color="auto" w:fill="FFFFFF"/>
        <w:spacing w:after="0" w:line="240" w:lineRule="auto"/>
        <w:rPr>
          <w:rFonts w:ascii="Arial" w:eastAsia="Times New Roman" w:hAnsi="Arial" w:cs="Arial"/>
          <w:color w:val="000000"/>
          <w:sz w:val="24"/>
          <w:szCs w:val="24"/>
        </w:rPr>
      </w:pPr>
      <w:r w:rsidRPr="0014141E">
        <w:rPr>
          <w:rFonts w:ascii="Arial" w:eastAsia="Times New Roman" w:hAnsi="Arial" w:cs="Arial"/>
          <w:b/>
          <w:bCs/>
          <w:color w:val="000000"/>
          <w:sz w:val="24"/>
          <w:szCs w:val="24"/>
        </w:rPr>
        <w:t>To prepare</w:t>
      </w:r>
      <w:r w:rsidRPr="0014141E">
        <w:rPr>
          <w:rFonts w:ascii="Arial" w:eastAsia="Times New Roman" w:hAnsi="Arial" w:cs="Arial"/>
          <w:color w:val="000000"/>
          <w:sz w:val="24"/>
          <w:szCs w:val="24"/>
        </w:rPr>
        <w:t xml:space="preserve"> for this Discussion, review </w:t>
      </w:r>
      <w:r w:rsidRPr="0014141E">
        <w:rPr>
          <w:rFonts w:ascii="Arial" w:eastAsia="Times New Roman" w:hAnsi="Arial" w:cs="Arial"/>
          <w:noProof/>
          <w:color w:val="000000"/>
          <w:sz w:val="24"/>
          <w:szCs w:val="24"/>
          <w:u w:val="thick" w:color="28B473"/>
        </w:rPr>
        <w:t>your</w:t>
      </w:r>
      <w:r w:rsidRPr="0014141E">
        <w:rPr>
          <w:rFonts w:ascii="Arial" w:eastAsia="Times New Roman" w:hAnsi="Arial" w:cs="Arial"/>
          <w:color w:val="000000"/>
          <w:sz w:val="24"/>
          <w:szCs w:val="24"/>
        </w:rPr>
        <w:t xml:space="preserve"> Learning Resources, particularly the readings from the DETERMINE Consortium and European Commission and the National Social Marketing Centre video programs. Select </w:t>
      </w:r>
      <w:r w:rsidRPr="0014141E">
        <w:rPr>
          <w:rFonts w:ascii="Arial" w:eastAsia="Times New Roman" w:hAnsi="Arial" w:cs="Arial"/>
          <w:b/>
          <w:bCs/>
          <w:color w:val="000000"/>
          <w:sz w:val="24"/>
          <w:szCs w:val="24"/>
        </w:rPr>
        <w:t>two</w:t>
      </w:r>
      <w:r w:rsidRPr="0014141E">
        <w:rPr>
          <w:rFonts w:ascii="Arial" w:eastAsia="Times New Roman" w:hAnsi="Arial" w:cs="Arial"/>
          <w:color w:val="000000"/>
          <w:sz w:val="24"/>
          <w:szCs w:val="24"/>
        </w:rPr>
        <w:t xml:space="preserve"> EU countries on which to focus. Look at efforts in those countries designed to reduce health inequities and inequality and examine appropriate outcomes for those efforts. Evaluate the performance of the health systems in those countries as reflected in population health data for each of the countries. Be sure to access the CIA country profiles (found within the CIA World Factbook) and </w:t>
      </w:r>
      <w:r w:rsidRPr="0014141E">
        <w:rPr>
          <w:rFonts w:ascii="Arial" w:eastAsia="Times New Roman" w:hAnsi="Arial" w:cs="Arial"/>
          <w:noProof/>
          <w:color w:val="000000"/>
          <w:sz w:val="24"/>
          <w:szCs w:val="24"/>
          <w:u w:val="thick" w:color="28B473"/>
        </w:rPr>
        <w:t>WHO</w:t>
      </w:r>
      <w:r w:rsidRPr="0014141E">
        <w:rPr>
          <w:rFonts w:ascii="Arial" w:eastAsia="Times New Roman" w:hAnsi="Arial" w:cs="Arial"/>
          <w:color w:val="000000"/>
          <w:sz w:val="24"/>
          <w:szCs w:val="24"/>
        </w:rPr>
        <w:t xml:space="preserve"> websites provided earlier for the most current resources.</w:t>
      </w:r>
    </w:p>
    <w:p w:rsidR="0014141E" w:rsidRPr="0014141E" w:rsidRDefault="0014141E" w:rsidP="0014141E">
      <w:pPr>
        <w:shd w:val="clear" w:color="auto" w:fill="FFFFFF"/>
        <w:spacing w:after="0" w:line="240" w:lineRule="auto"/>
        <w:outlineLvl w:val="3"/>
        <w:rPr>
          <w:rFonts w:ascii="Arial" w:eastAsia="Times New Roman" w:hAnsi="Arial" w:cs="Arial"/>
          <w:color w:val="785432"/>
          <w:sz w:val="24"/>
          <w:szCs w:val="24"/>
        </w:rPr>
      </w:pPr>
      <w:r w:rsidRPr="0014141E">
        <w:rPr>
          <w:rFonts w:ascii="Arial" w:eastAsia="Times New Roman" w:hAnsi="Arial" w:cs="Arial"/>
          <w:color w:val="785432"/>
          <w:sz w:val="24"/>
          <w:szCs w:val="24"/>
        </w:rPr>
        <w:t>By Day 4</w:t>
      </w:r>
    </w:p>
    <w:p w:rsidR="0014141E" w:rsidRPr="0014141E" w:rsidRDefault="0014141E" w:rsidP="0014141E">
      <w:pPr>
        <w:shd w:val="clear" w:color="auto" w:fill="FFFFFF"/>
        <w:spacing w:after="0" w:line="240" w:lineRule="auto"/>
        <w:rPr>
          <w:rFonts w:ascii="Arial" w:eastAsia="Times New Roman" w:hAnsi="Arial" w:cs="Arial"/>
          <w:color w:val="000000"/>
          <w:sz w:val="24"/>
          <w:szCs w:val="24"/>
        </w:rPr>
      </w:pPr>
      <w:r w:rsidRPr="0014141E">
        <w:rPr>
          <w:rFonts w:ascii="Arial" w:eastAsia="Times New Roman" w:hAnsi="Arial" w:cs="Arial"/>
          <w:b/>
          <w:bCs/>
          <w:color w:val="000000"/>
          <w:sz w:val="24"/>
          <w:szCs w:val="24"/>
        </w:rPr>
        <w:t>Post</w:t>
      </w:r>
      <w:r w:rsidRPr="0014141E">
        <w:rPr>
          <w:rFonts w:ascii="Arial" w:eastAsia="Times New Roman" w:hAnsi="Arial" w:cs="Arial"/>
          <w:color w:val="000000"/>
          <w:sz w:val="24"/>
          <w:szCs w:val="24"/>
        </w:rPr>
        <w:t xml:space="preserve"> a brief comparison of the health status of the two EU countries </w:t>
      </w:r>
      <w:r w:rsidRPr="0014141E">
        <w:rPr>
          <w:rFonts w:ascii="Arial" w:eastAsia="Times New Roman" w:hAnsi="Arial" w:cs="Arial"/>
          <w:noProof/>
          <w:color w:val="000000"/>
          <w:sz w:val="24"/>
          <w:szCs w:val="24"/>
          <w:u w:val="thick" w:color="28B473"/>
        </w:rPr>
        <w:t>you</w:t>
      </w:r>
      <w:r w:rsidRPr="0014141E">
        <w:rPr>
          <w:rFonts w:ascii="Arial" w:eastAsia="Times New Roman" w:hAnsi="Arial" w:cs="Arial"/>
          <w:color w:val="000000"/>
          <w:sz w:val="24"/>
          <w:szCs w:val="24"/>
        </w:rPr>
        <w:t xml:space="preserve"> selected with that of the U.S. Then, describe two efforts in those EU countries to reduce health inequities. Explain what lessons can </w:t>
      </w:r>
      <w:r w:rsidRPr="0014141E">
        <w:rPr>
          <w:rFonts w:ascii="Arial" w:eastAsia="Times New Roman" w:hAnsi="Arial" w:cs="Arial"/>
          <w:noProof/>
          <w:color w:val="000000"/>
          <w:sz w:val="24"/>
          <w:szCs w:val="24"/>
          <w:u w:val="thick" w:color="28B473"/>
        </w:rPr>
        <w:t>be learned</w:t>
      </w:r>
      <w:r w:rsidRPr="0014141E">
        <w:rPr>
          <w:rFonts w:ascii="Arial" w:eastAsia="Times New Roman" w:hAnsi="Arial" w:cs="Arial"/>
          <w:color w:val="000000"/>
          <w:sz w:val="24"/>
          <w:szCs w:val="24"/>
        </w:rPr>
        <w:t xml:space="preserve"> from the EU efforts </w:t>
      </w:r>
      <w:r w:rsidRPr="0014141E">
        <w:rPr>
          <w:rFonts w:ascii="Arial" w:eastAsia="Times New Roman" w:hAnsi="Arial" w:cs="Arial"/>
          <w:noProof/>
          <w:color w:val="000000"/>
          <w:sz w:val="24"/>
          <w:szCs w:val="24"/>
          <w:u w:val="thick" w:color="28B473"/>
        </w:rPr>
        <w:t>you</w:t>
      </w:r>
      <w:r w:rsidRPr="0014141E">
        <w:rPr>
          <w:rFonts w:ascii="Arial" w:eastAsia="Times New Roman" w:hAnsi="Arial" w:cs="Arial"/>
          <w:color w:val="000000"/>
          <w:sz w:val="24"/>
          <w:szCs w:val="24"/>
        </w:rPr>
        <w:t xml:space="preserve"> selected that can be implemented in the U.S. nationally or by individual states. Explain how the community </w:t>
      </w:r>
      <w:r w:rsidRPr="0014141E">
        <w:rPr>
          <w:rFonts w:ascii="Arial" w:eastAsia="Times New Roman" w:hAnsi="Arial" w:cs="Arial"/>
          <w:noProof/>
          <w:color w:val="000000"/>
          <w:sz w:val="24"/>
          <w:szCs w:val="24"/>
          <w:u w:val="thick" w:color="28B473"/>
        </w:rPr>
        <w:t>you</w:t>
      </w:r>
      <w:r w:rsidRPr="0014141E">
        <w:rPr>
          <w:rFonts w:ascii="Arial" w:eastAsia="Times New Roman" w:hAnsi="Arial" w:cs="Arial"/>
          <w:color w:val="000000"/>
          <w:sz w:val="24"/>
          <w:szCs w:val="24"/>
        </w:rPr>
        <w:t xml:space="preserve"> live in might adapt these interventions. Expand on </w:t>
      </w:r>
      <w:r w:rsidRPr="0014141E">
        <w:rPr>
          <w:rFonts w:ascii="Arial" w:eastAsia="Times New Roman" w:hAnsi="Arial" w:cs="Arial"/>
          <w:noProof/>
          <w:color w:val="000000"/>
          <w:sz w:val="24"/>
          <w:szCs w:val="24"/>
          <w:u w:val="thick" w:color="28B473"/>
        </w:rPr>
        <w:t>your</w:t>
      </w:r>
      <w:r w:rsidRPr="0014141E">
        <w:rPr>
          <w:rFonts w:ascii="Arial" w:eastAsia="Times New Roman" w:hAnsi="Arial" w:cs="Arial"/>
          <w:color w:val="000000"/>
          <w:sz w:val="24"/>
          <w:szCs w:val="24"/>
        </w:rPr>
        <w:t xml:space="preserve"> insights utilizing the Learning Resources.</w:t>
      </w:r>
    </w:p>
    <w:p w:rsidR="0014141E" w:rsidRPr="0014141E" w:rsidRDefault="0014141E" w:rsidP="0014141E">
      <w:pPr>
        <w:shd w:val="clear" w:color="auto" w:fill="FFFFFF"/>
        <w:spacing w:after="0" w:line="240" w:lineRule="auto"/>
        <w:rPr>
          <w:rFonts w:ascii="Arial" w:eastAsia="Times New Roman" w:hAnsi="Arial" w:cs="Arial"/>
          <w:color w:val="000000"/>
          <w:sz w:val="24"/>
          <w:szCs w:val="24"/>
        </w:rPr>
      </w:pPr>
      <w:r w:rsidRPr="0014141E">
        <w:rPr>
          <w:rFonts w:ascii="Arial" w:eastAsia="Times New Roman" w:hAnsi="Arial" w:cs="Arial"/>
          <w:i/>
          <w:iCs/>
          <w:color w:val="000000"/>
          <w:sz w:val="24"/>
          <w:szCs w:val="24"/>
        </w:rPr>
        <w:t xml:space="preserve">Use APA formatting for </w:t>
      </w:r>
      <w:r w:rsidRPr="0014141E">
        <w:rPr>
          <w:rFonts w:ascii="Arial" w:eastAsia="Times New Roman" w:hAnsi="Arial" w:cs="Arial"/>
          <w:i/>
          <w:iCs/>
          <w:noProof/>
          <w:color w:val="000000"/>
          <w:sz w:val="24"/>
          <w:szCs w:val="24"/>
          <w:u w:val="thick" w:color="28B473"/>
        </w:rPr>
        <w:t>your</w:t>
      </w:r>
      <w:r w:rsidRPr="0014141E">
        <w:rPr>
          <w:rFonts w:ascii="Arial" w:eastAsia="Times New Roman" w:hAnsi="Arial" w:cs="Arial"/>
          <w:i/>
          <w:iCs/>
          <w:color w:val="000000"/>
          <w:sz w:val="24"/>
          <w:szCs w:val="24"/>
        </w:rPr>
        <w:t xml:space="preserve"> Discussion and to cite </w:t>
      </w:r>
      <w:r w:rsidRPr="0014141E">
        <w:rPr>
          <w:rFonts w:ascii="Arial" w:eastAsia="Times New Roman" w:hAnsi="Arial" w:cs="Arial"/>
          <w:i/>
          <w:iCs/>
          <w:noProof/>
          <w:color w:val="000000"/>
          <w:sz w:val="24"/>
          <w:szCs w:val="24"/>
          <w:u w:val="thick" w:color="28B473"/>
        </w:rPr>
        <w:t>your</w:t>
      </w:r>
      <w:r w:rsidRPr="0014141E">
        <w:rPr>
          <w:rFonts w:ascii="Arial" w:eastAsia="Times New Roman" w:hAnsi="Arial" w:cs="Arial"/>
          <w:i/>
          <w:iCs/>
          <w:color w:val="000000"/>
          <w:sz w:val="24"/>
          <w:szCs w:val="24"/>
        </w:rPr>
        <w:t xml:space="preserve"> resources.</w:t>
      </w:r>
    </w:p>
    <w:p w:rsidR="0014141E" w:rsidRDefault="0014141E"/>
    <w:p w:rsidR="0014141E" w:rsidRDefault="0014141E">
      <w:r>
        <w:t>Learning Resources</w:t>
      </w:r>
    </w:p>
    <w:p w:rsidR="0014141E" w:rsidRPr="0014141E" w:rsidRDefault="0014141E" w:rsidP="0014141E">
      <w:pPr>
        <w:rPr>
          <w:rStyle w:val="Hyperlink"/>
        </w:rPr>
      </w:pPr>
      <w:r w:rsidRPr="0014141E">
        <w:fldChar w:fldCharType="begin"/>
      </w:r>
      <w:r w:rsidRPr="0014141E">
        <w:instrText xml:space="preserve"> HYPERLINK "http://www.nsmcentre.org.uk/content/health-equity-social-determinants/Casestudies" \o "Additional case studies of social determinants" \t "_blank" </w:instrText>
      </w:r>
      <w:r w:rsidRPr="0014141E">
        <w:fldChar w:fldCharType="separate"/>
      </w:r>
    </w:p>
    <w:p w:rsidR="0014141E" w:rsidRPr="0014141E" w:rsidRDefault="0014141E" w:rsidP="0014141E">
      <w:pPr>
        <w:rPr>
          <w:rStyle w:val="Hyperlink"/>
        </w:rPr>
      </w:pPr>
      <w:r w:rsidRPr="0014141E">
        <w:rPr>
          <w:rStyle w:val="Hyperlink"/>
        </w:rPr>
        <w:t xml:space="preserve">Additional case studies of social determinants are available at http://www.nsmcentre.org.uk/content/health-equity-social-determinants/Casestudies </w:t>
      </w:r>
    </w:p>
    <w:p w:rsidR="0014141E" w:rsidRPr="0014141E" w:rsidRDefault="0014141E" w:rsidP="0014141E">
      <w:r w:rsidRPr="0014141E">
        <w:fldChar w:fldCharType="end"/>
      </w:r>
    </w:p>
    <w:p w:rsidR="0014141E" w:rsidRPr="0014141E" w:rsidRDefault="0014141E" w:rsidP="0014141E">
      <w:r w:rsidRPr="0014141E">
        <w:t xml:space="preserve">Gele, A. A., &amp; Harsløf, I. (2010). </w:t>
      </w:r>
      <w:r w:rsidRPr="0014141E">
        <w:rPr>
          <w:noProof/>
          <w:u w:val="thick" w:color="28B473"/>
        </w:rPr>
        <w:t>Types</w:t>
      </w:r>
      <w:r w:rsidRPr="0014141E">
        <w:t xml:space="preserve"> of social capital resources and self-rated health among the Norwegian adult population. </w:t>
      </w:r>
      <w:r w:rsidRPr="0014141E">
        <w:rPr>
          <w:i/>
          <w:iCs/>
        </w:rPr>
        <w:t>International Journal for Equity in Health, 9</w:t>
      </w:r>
      <w:r w:rsidRPr="0014141E">
        <w:t>, 8–16.</w:t>
      </w:r>
    </w:p>
    <w:p w:rsidR="0014141E" w:rsidRPr="0014141E" w:rsidRDefault="0014141E" w:rsidP="0014141E">
      <w:r w:rsidRPr="0014141E">
        <w:rPr>
          <w:b/>
          <w:bCs/>
        </w:rPr>
        <w:t>Note:</w:t>
      </w:r>
      <w:r w:rsidRPr="0014141E">
        <w:t xml:space="preserve"> Retrieved from Walden Library databases.</w:t>
      </w:r>
    </w:p>
    <w:p w:rsidR="0014141E" w:rsidRPr="0014141E" w:rsidRDefault="0014141E" w:rsidP="0014141E">
      <w:pPr>
        <w:rPr>
          <w:rStyle w:val="Hyperlink"/>
        </w:rPr>
      </w:pPr>
      <w:r w:rsidRPr="0014141E">
        <w:fldChar w:fldCharType="begin"/>
      </w:r>
      <w:r w:rsidRPr="0014141E">
        <w:instrText xml:space="preserve"> HYPERLINK "http://ec.europa.eu/health/ph_overview/Documents/strategy_wp_en.pdf" \o "Together for health: A strategic approach for the EU 2008-2013" \t "_blank" </w:instrText>
      </w:r>
      <w:r w:rsidRPr="0014141E">
        <w:fldChar w:fldCharType="separate"/>
      </w:r>
    </w:p>
    <w:p w:rsidR="0014141E" w:rsidRPr="0014141E" w:rsidRDefault="0014141E" w:rsidP="0014141E">
      <w:pPr>
        <w:rPr>
          <w:rStyle w:val="Hyperlink"/>
        </w:rPr>
      </w:pPr>
      <w:r w:rsidRPr="0014141E">
        <w:rPr>
          <w:rStyle w:val="Hyperlink"/>
        </w:rPr>
        <w:t xml:space="preserve">Commission of the European Communities. (2007). </w:t>
      </w:r>
      <w:r w:rsidRPr="0014141E">
        <w:rPr>
          <w:rStyle w:val="Hyperlink"/>
          <w:i/>
          <w:iCs/>
        </w:rPr>
        <w:t>Together for health: A strategic approach for the EU 2008-2013</w:t>
      </w:r>
      <w:r w:rsidRPr="0014141E">
        <w:rPr>
          <w:rStyle w:val="Hyperlink"/>
        </w:rPr>
        <w:t xml:space="preserve"> [White paper]. Retrieved from http://ec.europa.eu/health/ph_overview/Documents/strategy_wp_en.pdf</w:t>
      </w:r>
    </w:p>
    <w:p w:rsidR="0014141E" w:rsidRPr="0014141E" w:rsidRDefault="0014141E" w:rsidP="0014141E">
      <w:pPr>
        <w:rPr>
          <w:rStyle w:val="Hyperlink"/>
        </w:rPr>
      </w:pPr>
      <w:r w:rsidRPr="0014141E">
        <w:fldChar w:fldCharType="end"/>
      </w:r>
      <w:r w:rsidRPr="0014141E">
        <w:fldChar w:fldCharType="begin"/>
      </w:r>
      <w:r w:rsidRPr="0014141E">
        <w:instrText xml:space="preserve"> HYPERLINK "http://www.euro.who.int/en/health-topics/health-policy/health-2020-the-european-policy-for-health-and-well-being" \o "Health 2020: the European policy for health and well-being" \t "_blank" </w:instrText>
      </w:r>
      <w:r w:rsidRPr="0014141E">
        <w:fldChar w:fldCharType="separate"/>
      </w:r>
    </w:p>
    <w:p w:rsidR="0014141E" w:rsidRPr="0014141E" w:rsidRDefault="0014141E" w:rsidP="0014141E">
      <w:pPr>
        <w:rPr>
          <w:rStyle w:val="Hyperlink"/>
        </w:rPr>
      </w:pPr>
      <w:r w:rsidRPr="0014141E">
        <w:rPr>
          <w:rStyle w:val="Hyperlink"/>
        </w:rPr>
        <w:lastRenderedPageBreak/>
        <w:t xml:space="preserve">Health 2020: the European policy for health and well-being. (n.d.). Retrieved January 16, 2015, from http://www.euro.who.int/en/health-topics/health-policy/health-2020-the-european-policy-for-health-and-well-being </w:t>
      </w:r>
    </w:p>
    <w:p w:rsidR="0014141E" w:rsidRPr="0014141E" w:rsidRDefault="0014141E" w:rsidP="0014141E">
      <w:pPr>
        <w:rPr>
          <w:rStyle w:val="Hyperlink"/>
        </w:rPr>
      </w:pPr>
      <w:r w:rsidRPr="0014141E">
        <w:fldChar w:fldCharType="end"/>
      </w:r>
      <w:r w:rsidRPr="0014141E">
        <w:fldChar w:fldCharType="begin"/>
      </w:r>
      <w:r w:rsidRPr="0014141E">
        <w:instrText xml:space="preserve"> HYPERLINK "http://ec.europa.eu/health/ph_projects/2003/action3/docs/2003_3_15_rep2_en.pdf" \o "Tackling health inequalities in the EU: The contributions of Various EU-level actors" \t "_blank" </w:instrText>
      </w:r>
      <w:r w:rsidRPr="0014141E">
        <w:fldChar w:fldCharType="separate"/>
      </w:r>
    </w:p>
    <w:p w:rsidR="0014141E" w:rsidRPr="0014141E" w:rsidRDefault="0014141E" w:rsidP="0014141E">
      <w:pPr>
        <w:rPr>
          <w:rStyle w:val="Hyperlink"/>
        </w:rPr>
      </w:pPr>
      <w:r w:rsidRPr="0014141E">
        <w:rPr>
          <w:rStyle w:val="Hyperlink"/>
        </w:rPr>
        <w:t xml:space="preserve">European Commission. (2006). </w:t>
      </w:r>
      <w:r w:rsidRPr="0014141E">
        <w:rPr>
          <w:rStyle w:val="Hyperlink"/>
          <w:i/>
          <w:iCs/>
        </w:rPr>
        <w:t>Tackling health inequalities in the EU: The contributions of Various EU-level actors</w:t>
      </w:r>
      <w:r w:rsidRPr="0014141E">
        <w:rPr>
          <w:rStyle w:val="Hyperlink"/>
        </w:rPr>
        <w:t xml:space="preserve">. Retrieved from http://ec.europa.eu/health/ph_projects/2003/action3/docs/2003_3_15_rep2_en.pdf </w:t>
      </w:r>
    </w:p>
    <w:p w:rsidR="0014141E" w:rsidRPr="0014141E" w:rsidRDefault="0014141E" w:rsidP="0014141E">
      <w:pPr>
        <w:rPr>
          <w:rStyle w:val="Hyperlink"/>
        </w:rPr>
      </w:pPr>
      <w:r w:rsidRPr="0014141E">
        <w:rPr>
          <w:rStyle w:val="Hyperlink"/>
        </w:rPr>
        <w:t xml:space="preserve">Read pages 1–17. </w:t>
      </w:r>
    </w:p>
    <w:p w:rsidR="0014141E" w:rsidRPr="0014141E" w:rsidRDefault="0014141E" w:rsidP="0014141E">
      <w:pPr>
        <w:rPr>
          <w:rStyle w:val="Hyperlink"/>
        </w:rPr>
      </w:pPr>
      <w:r w:rsidRPr="0014141E">
        <w:fldChar w:fldCharType="end"/>
      </w:r>
      <w:r w:rsidRPr="0014141E">
        <w:fldChar w:fldCharType="begin"/>
      </w:r>
      <w:r w:rsidRPr="0014141E">
        <w:instrText xml:space="preserve"> HYPERLINK "http://ec.europa.eu/health/index_en.htm" \o "European Commission: Public health" \t "_blank" </w:instrText>
      </w:r>
      <w:r w:rsidRPr="0014141E">
        <w:fldChar w:fldCharType="separate"/>
      </w:r>
    </w:p>
    <w:p w:rsidR="0014141E" w:rsidRPr="0014141E" w:rsidRDefault="0014141E" w:rsidP="0014141E">
      <w:pPr>
        <w:rPr>
          <w:rStyle w:val="Hyperlink"/>
        </w:rPr>
      </w:pPr>
      <w:r w:rsidRPr="0014141E">
        <w:rPr>
          <w:rStyle w:val="Hyperlink"/>
        </w:rPr>
        <w:t xml:space="preserve">European Commission. (2014). European Commission: Public health. Retrieved from http://ec.europa.eu/health/index_en.htm </w:t>
      </w:r>
    </w:p>
    <w:p w:rsidR="0014141E" w:rsidRPr="0014141E" w:rsidRDefault="0014141E" w:rsidP="0014141E">
      <w:pPr>
        <w:rPr>
          <w:rStyle w:val="Hyperlink"/>
        </w:rPr>
      </w:pPr>
      <w:r w:rsidRPr="0014141E">
        <w:fldChar w:fldCharType="end"/>
      </w:r>
      <w:r w:rsidRPr="0014141E">
        <w:fldChar w:fldCharType="begin"/>
      </w:r>
      <w:r w:rsidRPr="0014141E">
        <w:instrText xml:space="preserve"> HYPERLINK "http://eurohealthnet.eu/sites/eurohealthnet.eu/files/publications/DETERMINE-Final-Publication-Story.pdf" \o "The story of DETERMINE: Mobilising action for health equity in the EU—Final report of the DETERMINE consortium" \t "_blank" </w:instrText>
      </w:r>
      <w:r w:rsidRPr="0014141E">
        <w:fldChar w:fldCharType="separate"/>
      </w:r>
    </w:p>
    <w:p w:rsidR="0014141E" w:rsidRPr="0014141E" w:rsidRDefault="0014141E" w:rsidP="0014141E">
      <w:pPr>
        <w:rPr>
          <w:rStyle w:val="Hyperlink"/>
        </w:rPr>
      </w:pPr>
      <w:r w:rsidRPr="0014141E">
        <w:rPr>
          <w:rStyle w:val="Hyperlink"/>
        </w:rPr>
        <w:t xml:space="preserve">Stegeman, I., Costongs, C., Needle C., &amp; DETERMINE Consortium. (2010). </w:t>
      </w:r>
      <w:r w:rsidRPr="0014141E">
        <w:rPr>
          <w:rStyle w:val="Hyperlink"/>
          <w:i/>
          <w:iCs/>
        </w:rPr>
        <w:t>The story of DETERMINE: Mobilising action for health equity in the EU—Final report of the DETERMINE consortium</w:t>
      </w:r>
      <w:r w:rsidRPr="0014141E">
        <w:rPr>
          <w:rStyle w:val="Hyperlink"/>
        </w:rPr>
        <w:t xml:space="preserve">. Brussels: EuroHealthNet. Retrieved from http://eurohealthnet.eu/sites/eurohealthnet.eu/files/publications/DETERMINE-Final-Publication-Story.pdf </w:t>
      </w:r>
    </w:p>
    <w:p w:rsidR="0014141E" w:rsidRPr="0014141E" w:rsidRDefault="0014141E" w:rsidP="0014141E">
      <w:pPr>
        <w:rPr>
          <w:rStyle w:val="Hyperlink"/>
        </w:rPr>
      </w:pPr>
      <w:r w:rsidRPr="0014141E">
        <w:fldChar w:fldCharType="end"/>
      </w:r>
      <w:r w:rsidRPr="0014141E">
        <w:fldChar w:fldCharType="begin"/>
      </w:r>
      <w:r w:rsidRPr="0014141E">
        <w:instrText xml:space="preserve"> HYPERLINK "http://www.wellesleyinstitute.com/news/the_european_portal_for_action_on_health_equity/" \o "The European portal for action on health equity" \t "_blank" </w:instrText>
      </w:r>
      <w:r w:rsidRPr="0014141E">
        <w:fldChar w:fldCharType="separate"/>
      </w:r>
    </w:p>
    <w:p w:rsidR="0014141E" w:rsidRPr="0014141E" w:rsidRDefault="0014141E" w:rsidP="0014141E">
      <w:pPr>
        <w:rPr>
          <w:rStyle w:val="Hyperlink"/>
        </w:rPr>
      </w:pPr>
      <w:r w:rsidRPr="0014141E">
        <w:rPr>
          <w:rStyle w:val="Hyperlink"/>
        </w:rPr>
        <w:t xml:space="preserve">Wellesley Institute. (2011). </w:t>
      </w:r>
      <w:r w:rsidRPr="0014141E">
        <w:rPr>
          <w:rStyle w:val="Hyperlink"/>
          <w:i/>
          <w:iCs/>
        </w:rPr>
        <w:t>The European portal for action on health equity</w:t>
      </w:r>
      <w:r w:rsidRPr="0014141E">
        <w:rPr>
          <w:rStyle w:val="Hyperlink"/>
        </w:rPr>
        <w:t xml:space="preserve">. Retrieved from http://www.wellesleyinstitute.com/news/the_european_portal_for_action_on_health_equity/ </w:t>
      </w:r>
    </w:p>
    <w:p w:rsidR="0014141E" w:rsidRPr="0014141E" w:rsidRDefault="0014141E" w:rsidP="0014141E">
      <w:pPr>
        <w:rPr>
          <w:rStyle w:val="Hyperlink"/>
        </w:rPr>
      </w:pPr>
      <w:r w:rsidRPr="0014141E">
        <w:fldChar w:fldCharType="end"/>
      </w:r>
      <w:r w:rsidRPr="0014141E">
        <w:fldChar w:fldCharType="begin"/>
      </w:r>
      <w:r w:rsidRPr="0014141E">
        <w:instrText xml:space="preserve"> HYPERLINK "https://doi.org/10.1093/eurpub/ckx181" \o "A systematic literature review on the use and outcomes of maternal and child healthcare services by undocumented migrants in Europe" \t "_blank" </w:instrText>
      </w:r>
      <w:r w:rsidRPr="0014141E">
        <w:fldChar w:fldCharType="separate"/>
      </w:r>
    </w:p>
    <w:p w:rsidR="0014141E" w:rsidRPr="0014141E" w:rsidRDefault="0014141E" w:rsidP="0014141E">
      <w:pPr>
        <w:rPr>
          <w:rStyle w:val="Hyperlink"/>
        </w:rPr>
      </w:pPr>
      <w:r w:rsidRPr="0014141E">
        <w:rPr>
          <w:rStyle w:val="Hyperlink"/>
        </w:rPr>
        <w:t xml:space="preserve">de Jong, L., Pavlova, M., Winters, M., &amp; Rechel, B. (2017). A systematic literature review on the use and outcomes of maternal and child healthcare services by undocumented migrants in Europe. </w:t>
      </w:r>
      <w:r w:rsidRPr="0014141E">
        <w:rPr>
          <w:rStyle w:val="Hyperlink"/>
          <w:i/>
          <w:iCs/>
        </w:rPr>
        <w:t>European Journal of Public Health, 27</w:t>
      </w:r>
      <w:r w:rsidRPr="0014141E">
        <w:rPr>
          <w:rStyle w:val="Hyperlink"/>
        </w:rPr>
        <w:t xml:space="preserve">(6), 990–997. Retrieved from https://doi.org/10.1093/eurpub/ckx181 </w:t>
      </w:r>
    </w:p>
    <w:p w:rsidR="0014141E" w:rsidRPr="0014141E" w:rsidRDefault="0014141E" w:rsidP="0014141E">
      <w:pPr>
        <w:rPr>
          <w:rStyle w:val="Hyperlink"/>
        </w:rPr>
      </w:pPr>
      <w:r w:rsidRPr="0014141E">
        <w:fldChar w:fldCharType="end"/>
      </w:r>
      <w:r w:rsidRPr="0014141E">
        <w:fldChar w:fldCharType="begin"/>
      </w:r>
      <w:r w:rsidRPr="0014141E">
        <w:instrText xml:space="preserve"> HYPERLINK "https://doi.org/10.1186/s40545-017-0120-z" \o "Evaluating the impact of Brexit on the pharmaceutical industry." \t "_blank" </w:instrText>
      </w:r>
      <w:r w:rsidRPr="0014141E">
        <w:fldChar w:fldCharType="separate"/>
      </w:r>
    </w:p>
    <w:p w:rsidR="0014141E" w:rsidRPr="0014141E" w:rsidRDefault="0014141E" w:rsidP="0014141E">
      <w:pPr>
        <w:rPr>
          <w:rStyle w:val="Hyperlink"/>
        </w:rPr>
      </w:pPr>
      <w:r w:rsidRPr="0014141E">
        <w:rPr>
          <w:rStyle w:val="Hyperlink"/>
        </w:rPr>
        <w:t xml:space="preserve">Kazzazi, F., Pollard, C., Tern, P., Ayuso-Garcia, A., Gillespie, J., &amp; Thomsen, I. (2017). Evaluating the impact of Brexit on the pharmaceutical industry. </w:t>
      </w:r>
      <w:r w:rsidRPr="0014141E">
        <w:rPr>
          <w:rStyle w:val="Hyperlink"/>
          <w:i/>
          <w:iCs/>
        </w:rPr>
        <w:t>Journal of Pharmaceutical Policy and Practice, 10</w:t>
      </w:r>
      <w:r w:rsidRPr="0014141E">
        <w:rPr>
          <w:rStyle w:val="Hyperlink"/>
        </w:rPr>
        <w:t xml:space="preserve">, 32. Retrieved from https://doi.org/10.1186/s40545-017-0120-z </w:t>
      </w:r>
    </w:p>
    <w:p w:rsidR="0014141E" w:rsidRPr="0014141E" w:rsidRDefault="0014141E" w:rsidP="0014141E">
      <w:pPr>
        <w:rPr>
          <w:rStyle w:val="Hyperlink"/>
        </w:rPr>
      </w:pPr>
      <w:r w:rsidRPr="0014141E">
        <w:fldChar w:fldCharType="end"/>
      </w:r>
      <w:r w:rsidRPr="0014141E">
        <w:fldChar w:fldCharType="begin"/>
      </w:r>
      <w:r w:rsidRPr="0014141E">
        <w:instrText xml:space="preserve"> HYPERLINK "https://doi.org/10.1016/S2352-3018(17)30155-8" \o "New HIV diagnoses among adults aged 50 years or older in 31 European countries, 2004-15: an analysis of surveillance data" \t "_blank" </w:instrText>
      </w:r>
      <w:r w:rsidRPr="0014141E">
        <w:fldChar w:fldCharType="separate"/>
      </w:r>
    </w:p>
    <w:p w:rsidR="0014141E" w:rsidRPr="0014141E" w:rsidRDefault="0014141E" w:rsidP="0014141E">
      <w:pPr>
        <w:rPr>
          <w:rStyle w:val="Hyperlink"/>
        </w:rPr>
      </w:pPr>
      <w:r w:rsidRPr="0014141E">
        <w:rPr>
          <w:rStyle w:val="Hyperlink"/>
        </w:rPr>
        <w:t xml:space="preserve">Tavoschi, L., Gomes Dias, J., Pharris, A., &amp; EU/EEA HIV Surveillance Network. (2017). New HIV diagnoses among adults aged 50 years or older in 31 European countries, 2004-15: an analysis of surveillance data. </w:t>
      </w:r>
      <w:r w:rsidRPr="0014141E">
        <w:rPr>
          <w:rStyle w:val="Hyperlink"/>
          <w:i/>
          <w:iCs/>
        </w:rPr>
        <w:t>The Lancet. HIV, 4</w:t>
      </w:r>
      <w:r w:rsidRPr="0014141E">
        <w:rPr>
          <w:rStyle w:val="Hyperlink"/>
        </w:rPr>
        <w:t xml:space="preserve">(11), e514–e521. Retrieved from https://doi.org/10.1016/S2352-3018(17)30155-8 </w:t>
      </w:r>
    </w:p>
    <w:p w:rsidR="0014141E" w:rsidRPr="0014141E" w:rsidRDefault="0014141E" w:rsidP="0014141E">
      <w:r w:rsidRPr="0014141E">
        <w:fldChar w:fldCharType="end"/>
      </w:r>
    </w:p>
    <w:p w:rsidR="0014141E" w:rsidRPr="0014141E" w:rsidRDefault="0014141E" w:rsidP="0014141E">
      <w:bookmarkStart w:id="0" w:name="_GoBack"/>
      <w:bookmarkEnd w:id="0"/>
      <w:r w:rsidRPr="0014141E">
        <w:pict>
          <v:rect id="_x0000_i1025" style="width:0;height:0" o:hralign="center" o:hrstd="t" o:hrnoshade="t" o:hr="t" fillcolor="black" stroked="f"/>
        </w:pict>
      </w:r>
    </w:p>
    <w:p w:rsidR="0014141E" w:rsidRDefault="0014141E"/>
    <w:sectPr w:rsidR="001414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W2NDcytzCxNAfyjJV0lIJTi4sz8/NACgxrATlC8SgsAAAA"/>
  </w:docVars>
  <w:rsids>
    <w:rsidRoot w:val="0014141E"/>
    <w:rsid w:val="00141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CA3C7"/>
  <w15:chartTrackingRefBased/>
  <w15:docId w15:val="{1F10D916-C3F4-4138-9394-C1DC06B71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4141E"/>
    <w:rPr>
      <w:color w:val="0563C1" w:themeColor="hyperlink"/>
      <w:u w:val="single"/>
    </w:rPr>
  </w:style>
  <w:style w:type="character" w:styleId="UnresolvedMention">
    <w:name w:val="Unresolved Mention"/>
    <w:basedOn w:val="DefaultParagraphFont"/>
    <w:uiPriority w:val="99"/>
    <w:semiHidden/>
    <w:unhideWhenUsed/>
    <w:rsid w:val="001414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92742">
      <w:bodyDiv w:val="1"/>
      <w:marLeft w:val="0"/>
      <w:marRight w:val="0"/>
      <w:marTop w:val="0"/>
      <w:marBottom w:val="0"/>
      <w:divBdr>
        <w:top w:val="none" w:sz="0" w:space="0" w:color="auto"/>
        <w:left w:val="none" w:sz="0" w:space="0" w:color="auto"/>
        <w:bottom w:val="none" w:sz="0" w:space="0" w:color="auto"/>
        <w:right w:val="none" w:sz="0" w:space="0" w:color="auto"/>
      </w:divBdr>
      <w:divsChild>
        <w:div w:id="1441990857">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752818951">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2040005360">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644626290">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774089654">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2121414419">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691369354">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606540305">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1745254450">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 w:id="351807384">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 w:id="604115493">
      <w:bodyDiv w:val="1"/>
      <w:marLeft w:val="0"/>
      <w:marRight w:val="0"/>
      <w:marTop w:val="0"/>
      <w:marBottom w:val="0"/>
      <w:divBdr>
        <w:top w:val="none" w:sz="0" w:space="0" w:color="auto"/>
        <w:left w:val="none" w:sz="0" w:space="0" w:color="auto"/>
        <w:bottom w:val="none" w:sz="0" w:space="0" w:color="auto"/>
        <w:right w:val="none" w:sz="0" w:space="0" w:color="auto"/>
      </w:divBdr>
    </w:div>
    <w:div w:id="1521164065">
      <w:bodyDiv w:val="1"/>
      <w:marLeft w:val="0"/>
      <w:marRight w:val="0"/>
      <w:marTop w:val="0"/>
      <w:marBottom w:val="0"/>
      <w:divBdr>
        <w:top w:val="none" w:sz="0" w:space="0" w:color="auto"/>
        <w:left w:val="none" w:sz="0" w:space="0" w:color="auto"/>
        <w:bottom w:val="none" w:sz="0" w:space="0" w:color="auto"/>
        <w:right w:val="none" w:sz="0" w:space="0" w:color="auto"/>
      </w:divBdr>
      <w:divsChild>
        <w:div w:id="740979158">
          <w:blockQuote w:val="1"/>
          <w:marLeft w:val="720"/>
          <w:marRight w:val="720"/>
          <w:marTop w:val="100"/>
          <w:marBottom w:val="100"/>
          <w:divBdr>
            <w:top w:val="single" w:sz="24" w:space="0" w:color="FFFFFF"/>
            <w:left w:val="single" w:sz="24" w:space="0" w:color="FFFFFF"/>
            <w:bottom w:val="single" w:sz="24" w:space="0" w:color="FFFFFF"/>
            <w:right w:val="single" w:sz="24" w:space="0" w:color="FFFFFF"/>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869</Words>
  <Characters>4956</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Discussion: Is the EU Closing the Gap on Health Inequities?</vt:lpstr>
    </vt:vector>
  </TitlesOfParts>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monee sherman</dc:creator>
  <cp:keywords/>
  <dc:description/>
  <cp:lastModifiedBy>monee sherman</cp:lastModifiedBy>
  <cp:revision>1</cp:revision>
  <dcterms:created xsi:type="dcterms:W3CDTF">2018-07-07T00:34:00Z</dcterms:created>
  <dcterms:modified xsi:type="dcterms:W3CDTF">2018-07-07T00:37:00Z</dcterms:modified>
</cp:coreProperties>
</file>